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E71DB" w14:textId="4E165E0B" w:rsidR="00A04402" w:rsidRDefault="0063616C" w:rsidP="00A04402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Tabela</w:t>
      </w:r>
      <w:r w:rsidR="00A04402" w:rsidRPr="00A04402">
        <w:rPr>
          <w:rFonts w:asciiTheme="majorHAnsi" w:hAnsiTheme="majorHAnsi" w:cstheme="majorHAnsi"/>
          <w:b/>
          <w:sz w:val="24"/>
          <w:szCs w:val="24"/>
        </w:rPr>
        <w:t xml:space="preserve"> uwag zgłoszonych w uzgodnieniach międzyresortowych </w:t>
      </w:r>
    </w:p>
    <w:p w14:paraId="79E39027" w14:textId="77777777" w:rsidR="00A04402" w:rsidRDefault="00A04402" w:rsidP="00A04402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A04402">
        <w:rPr>
          <w:rFonts w:asciiTheme="majorHAnsi" w:hAnsiTheme="majorHAnsi" w:cstheme="majorHAnsi"/>
          <w:b/>
          <w:sz w:val="24"/>
          <w:szCs w:val="24"/>
        </w:rPr>
        <w:t xml:space="preserve">do projektu rozporządzenia Ministra Sprawiedliwości </w:t>
      </w:r>
      <w:r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48C1C491" w14:textId="0211CD28" w:rsidR="00A04402" w:rsidRDefault="00A04402" w:rsidP="00A66428">
      <w:pPr>
        <w:spacing w:after="0" w:line="36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A04402">
        <w:rPr>
          <w:rFonts w:asciiTheme="majorHAnsi" w:hAnsiTheme="majorHAnsi" w:cstheme="majorHAnsi"/>
          <w:b/>
          <w:bCs/>
          <w:sz w:val="24"/>
          <w:szCs w:val="24"/>
        </w:rPr>
        <w:t>w sprawie określenia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A04402">
        <w:rPr>
          <w:rFonts w:asciiTheme="majorHAnsi" w:hAnsiTheme="majorHAnsi" w:cstheme="majorHAnsi"/>
          <w:b/>
          <w:bCs/>
          <w:sz w:val="24"/>
          <w:szCs w:val="24"/>
        </w:rPr>
        <w:t>wzorców dotyczących prostej spółki akcyjnej udostępnionych w systemie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A04402">
        <w:rPr>
          <w:rFonts w:asciiTheme="majorHAnsi" w:hAnsiTheme="majorHAnsi" w:cstheme="majorHAnsi"/>
          <w:b/>
          <w:bCs/>
          <w:sz w:val="24"/>
          <w:szCs w:val="24"/>
        </w:rPr>
        <w:t xml:space="preserve">teleinformatycznym </w:t>
      </w:r>
      <w:r w:rsidRPr="00A04402">
        <w:rPr>
          <w:rFonts w:asciiTheme="majorHAnsi" w:hAnsiTheme="majorHAnsi" w:cstheme="majorHAnsi"/>
          <w:b/>
          <w:sz w:val="24"/>
          <w:szCs w:val="24"/>
        </w:rPr>
        <w:t>(nr w wykazie A</w:t>
      </w:r>
      <w:r>
        <w:rPr>
          <w:rFonts w:asciiTheme="majorHAnsi" w:hAnsiTheme="majorHAnsi" w:cstheme="majorHAnsi"/>
          <w:b/>
          <w:sz w:val="24"/>
          <w:szCs w:val="24"/>
        </w:rPr>
        <w:t xml:space="preserve"> 392</w:t>
      </w:r>
      <w:r w:rsidRPr="00A04402">
        <w:rPr>
          <w:rFonts w:asciiTheme="majorHAnsi" w:hAnsiTheme="majorHAnsi" w:cstheme="majorHAnsi"/>
          <w:b/>
          <w:sz w:val="24"/>
          <w:szCs w:val="24"/>
        </w:rPr>
        <w:t>)</w:t>
      </w:r>
    </w:p>
    <w:p w14:paraId="7FF835A5" w14:textId="77777777" w:rsidR="00A66428" w:rsidRPr="00A66428" w:rsidRDefault="00A66428" w:rsidP="00A66428">
      <w:pPr>
        <w:spacing w:after="0" w:line="36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tbl>
      <w:tblPr>
        <w:tblStyle w:val="Tabela-Siatka"/>
        <w:tblW w:w="1559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2977"/>
        <w:gridCol w:w="6662"/>
        <w:gridCol w:w="4252"/>
      </w:tblGrid>
      <w:tr w:rsidR="007935A4" w:rsidRPr="000F6BF5" w14:paraId="55F8CA99" w14:textId="77777777" w:rsidTr="0063616C">
        <w:tc>
          <w:tcPr>
            <w:tcW w:w="425" w:type="dxa"/>
          </w:tcPr>
          <w:p w14:paraId="4C9ECF1C" w14:textId="77777777" w:rsidR="00A04402" w:rsidRPr="000F6BF5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1277" w:type="dxa"/>
          </w:tcPr>
          <w:p w14:paraId="037C3640" w14:textId="77777777" w:rsidR="00A04402" w:rsidRPr="000F6BF5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Zgłaszający </w:t>
            </w:r>
          </w:p>
          <w:p w14:paraId="4F39D6E4" w14:textId="77777777" w:rsidR="00A04402" w:rsidRPr="000F6BF5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>uwagę</w:t>
            </w:r>
          </w:p>
        </w:tc>
        <w:tc>
          <w:tcPr>
            <w:tcW w:w="2977" w:type="dxa"/>
          </w:tcPr>
          <w:p w14:paraId="78F5D805" w14:textId="77777777" w:rsidR="00A04402" w:rsidRPr="000F6BF5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>Uwaga dotyczy</w:t>
            </w:r>
          </w:p>
        </w:tc>
        <w:tc>
          <w:tcPr>
            <w:tcW w:w="6662" w:type="dxa"/>
          </w:tcPr>
          <w:p w14:paraId="0A6D26F0" w14:textId="77777777" w:rsidR="00A04402" w:rsidRPr="000F6BF5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>Treść uwagi</w:t>
            </w:r>
          </w:p>
        </w:tc>
        <w:tc>
          <w:tcPr>
            <w:tcW w:w="4252" w:type="dxa"/>
          </w:tcPr>
          <w:p w14:paraId="187B870D" w14:textId="77777777" w:rsidR="00A04402" w:rsidRPr="000F6BF5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>Odniesienie się do uwagi</w:t>
            </w:r>
          </w:p>
        </w:tc>
      </w:tr>
      <w:tr w:rsidR="007935A4" w:rsidRPr="000F6BF5" w14:paraId="2E9630F2" w14:textId="77777777" w:rsidTr="0063616C">
        <w:tc>
          <w:tcPr>
            <w:tcW w:w="425" w:type="dxa"/>
          </w:tcPr>
          <w:p w14:paraId="4481375C" w14:textId="77777777" w:rsidR="00A04402" w:rsidRPr="000F6BF5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1277" w:type="dxa"/>
          </w:tcPr>
          <w:p w14:paraId="2C358DDA" w14:textId="77777777" w:rsidR="00A04402" w:rsidRPr="000F6BF5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RCL </w:t>
            </w:r>
          </w:p>
        </w:tc>
        <w:tc>
          <w:tcPr>
            <w:tcW w:w="2977" w:type="dxa"/>
          </w:tcPr>
          <w:p w14:paraId="1D8FBE56" w14:textId="5ECFD2EB" w:rsidR="00A04402" w:rsidRPr="000F6BF5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Tekstu rozporządzenia/załączników </w:t>
            </w:r>
          </w:p>
        </w:tc>
        <w:tc>
          <w:tcPr>
            <w:tcW w:w="6662" w:type="dxa"/>
          </w:tcPr>
          <w:p w14:paraId="7961BF67" w14:textId="4B281733" w:rsidR="00A04402" w:rsidRPr="00A04402" w:rsidRDefault="00A04402" w:rsidP="0063616C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P</w:t>
            </w:r>
            <w:r w:rsidRPr="00A04402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roponuje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się </w:t>
            </w:r>
            <w:r w:rsidRPr="00A04402">
              <w:rPr>
                <w:rFonts w:asciiTheme="majorHAnsi" w:hAnsiTheme="majorHAnsi" w:cstheme="majorHAnsi"/>
                <w:bCs/>
                <w:sz w:val="20"/>
                <w:szCs w:val="20"/>
              </w:rPr>
              <w:t>wprowadzenie w tekście rozporządzenia skrótu „Kodeks spółek</w:t>
            </w:r>
          </w:p>
          <w:p w14:paraId="485A7A89" w14:textId="11BD71AF" w:rsidR="00A04402" w:rsidRPr="000F6BF5" w:rsidRDefault="00A04402" w:rsidP="0063616C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A04402">
              <w:rPr>
                <w:rFonts w:asciiTheme="majorHAnsi" w:hAnsiTheme="majorHAnsi" w:cstheme="majorHAnsi"/>
                <w:bCs/>
                <w:sz w:val="20"/>
                <w:szCs w:val="20"/>
              </w:rPr>
              <w:t>handlowych” odnoszącego się do ustawy z dnia 15 września 2000 r. Kodeks spółek</w:t>
            </w:r>
            <w:r w:rsidR="005B5682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A04402">
              <w:rPr>
                <w:rFonts w:asciiTheme="majorHAnsi" w:hAnsiTheme="majorHAnsi" w:cstheme="majorHAnsi"/>
                <w:bCs/>
                <w:sz w:val="20"/>
                <w:szCs w:val="20"/>
              </w:rPr>
              <w:t>handlowych (Dz.U. z 2020 r. poz. 1526, z późn. zm.) albo w załącznikach nr 2 i 3</w:t>
            </w:r>
            <w:r w:rsidR="005B5682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A04402">
              <w:rPr>
                <w:rFonts w:asciiTheme="majorHAnsi" w:hAnsiTheme="majorHAnsi" w:cstheme="majorHAnsi"/>
                <w:bCs/>
                <w:sz w:val="20"/>
                <w:szCs w:val="20"/>
              </w:rPr>
              <w:t>projektu zastąpienie wyrażenia „Kodeksu spółek handlowych” wyrażeniem „ ustawy</w:t>
            </w:r>
            <w:r w:rsidR="005B5682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A04402">
              <w:rPr>
                <w:rFonts w:asciiTheme="majorHAnsi" w:hAnsiTheme="majorHAnsi" w:cstheme="majorHAnsi"/>
                <w:bCs/>
                <w:sz w:val="20"/>
                <w:szCs w:val="20"/>
              </w:rPr>
              <w:t>z dnia 15 września 2000 r. Kodeks spółek handlowych”. Aktualnie sposób</w:t>
            </w:r>
            <w:r w:rsidR="005B5682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A04402">
              <w:rPr>
                <w:rFonts w:asciiTheme="majorHAnsi" w:hAnsiTheme="majorHAnsi" w:cstheme="majorHAnsi"/>
                <w:bCs/>
                <w:sz w:val="20"/>
                <w:szCs w:val="20"/>
              </w:rPr>
              <w:t>przytoczenia tytułu ww. ustawy nie jest zgodny z regułą wyrażoną w § 123 w związku</w:t>
            </w:r>
            <w:r w:rsidR="005B5682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A04402">
              <w:rPr>
                <w:rFonts w:asciiTheme="majorHAnsi" w:hAnsiTheme="majorHAnsi" w:cstheme="majorHAnsi"/>
                <w:bCs/>
                <w:sz w:val="20"/>
                <w:szCs w:val="20"/>
              </w:rPr>
              <w:t>z § 16 Zasad techniki prawodawczej</w:t>
            </w:r>
            <w:r w:rsidR="0063616C">
              <w:rPr>
                <w:rFonts w:asciiTheme="majorHAnsi" w:hAnsiTheme="majorHAnsi" w:cstheme="majorHAnsi"/>
                <w:b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4953CAC1" w14:textId="4B229859" w:rsidR="00A04402" w:rsidRPr="00A04402" w:rsidRDefault="00A04402" w:rsidP="00651492">
            <w:pPr>
              <w:spacing w:after="160" w:line="25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Uwaga uwzględniona</w:t>
            </w:r>
            <w:r w:rsidR="005B568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935A4" w:rsidRPr="000F6BF5" w14:paraId="048B44B2" w14:textId="77777777" w:rsidTr="0063616C">
        <w:tc>
          <w:tcPr>
            <w:tcW w:w="425" w:type="dxa"/>
          </w:tcPr>
          <w:p w14:paraId="454BA88B" w14:textId="18AC2B5B" w:rsidR="005B5682" w:rsidRPr="000F6BF5" w:rsidRDefault="005B5682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1277" w:type="dxa"/>
          </w:tcPr>
          <w:p w14:paraId="028DAA0D" w14:textId="4FA7FBF5" w:rsidR="005B5682" w:rsidRPr="000F6BF5" w:rsidRDefault="005B5682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RCL </w:t>
            </w:r>
          </w:p>
        </w:tc>
        <w:tc>
          <w:tcPr>
            <w:tcW w:w="2977" w:type="dxa"/>
          </w:tcPr>
          <w:p w14:paraId="0FC16820" w14:textId="40785C34" w:rsidR="005B5682" w:rsidRDefault="005B5682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Uzasadnienia do projektu</w:t>
            </w:r>
          </w:p>
        </w:tc>
        <w:tc>
          <w:tcPr>
            <w:tcW w:w="6662" w:type="dxa"/>
          </w:tcPr>
          <w:p w14:paraId="4BF81EFA" w14:textId="21723BD7" w:rsidR="005B5682" w:rsidRPr="005B5682" w:rsidRDefault="005B5682" w:rsidP="005B5682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W</w:t>
            </w: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uzasadnieniu projektu wyrażenie „lub Europejskiemu Bankowi Centralnemu”</w:t>
            </w:r>
          </w:p>
          <w:p w14:paraId="09C45E56" w14:textId="08C94054" w:rsidR="005B5682" w:rsidRDefault="005B5682" w:rsidP="005B5682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>należy zastąpić wyrażeniem „w tym Europejskiemu Bankowi Centralnemu”.</w:t>
            </w:r>
          </w:p>
        </w:tc>
        <w:tc>
          <w:tcPr>
            <w:tcW w:w="4252" w:type="dxa"/>
          </w:tcPr>
          <w:p w14:paraId="4D63B107" w14:textId="3DE24EE1" w:rsidR="005B5682" w:rsidRDefault="005B5682" w:rsidP="0065149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Uwaga uwzględniona</w:t>
            </w:r>
          </w:p>
        </w:tc>
      </w:tr>
      <w:tr w:rsidR="007935A4" w:rsidRPr="000F6BF5" w14:paraId="00ED7023" w14:textId="77777777" w:rsidTr="0063616C">
        <w:tc>
          <w:tcPr>
            <w:tcW w:w="425" w:type="dxa"/>
          </w:tcPr>
          <w:p w14:paraId="73DE270A" w14:textId="0EC251B1" w:rsidR="005B5682" w:rsidRPr="000F6BF5" w:rsidRDefault="005B5682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2C8C8F7D" w14:textId="7BBC04F1" w:rsidR="005B5682" w:rsidRPr="000F6BF5" w:rsidRDefault="005B5682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MFFiPR</w:t>
            </w:r>
          </w:p>
        </w:tc>
        <w:tc>
          <w:tcPr>
            <w:tcW w:w="2977" w:type="dxa"/>
          </w:tcPr>
          <w:p w14:paraId="276974C5" w14:textId="463A621D" w:rsidR="005B5682" w:rsidRDefault="005B5682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Teks</w:t>
            </w:r>
            <w:r w:rsidR="00CD2495">
              <w:rPr>
                <w:rFonts w:asciiTheme="majorHAnsi" w:hAnsiTheme="majorHAnsi" w:cstheme="majorHAnsi"/>
                <w:b/>
                <w:sz w:val="20"/>
                <w:szCs w:val="20"/>
              </w:rPr>
              <w:t>t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u rozporządzenia</w:t>
            </w:r>
          </w:p>
        </w:tc>
        <w:tc>
          <w:tcPr>
            <w:tcW w:w="6662" w:type="dxa"/>
          </w:tcPr>
          <w:p w14:paraId="13B1728D" w14:textId="56CE0A70" w:rsidR="005B5682" w:rsidRDefault="005B5682" w:rsidP="0063616C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>Zgodnie z art. 300</w:t>
            </w:r>
            <w:r w:rsidRPr="00C123DD">
              <w:rPr>
                <w:rFonts w:asciiTheme="majorHAnsi" w:hAnsiTheme="majorHAnsi" w:cstheme="majorHAnsi"/>
                <w:bCs/>
                <w:sz w:val="20"/>
                <w:szCs w:val="20"/>
                <w:vertAlign w:val="superscript"/>
              </w:rPr>
              <w:t>5</w:t>
            </w: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§ 1 pkt 8 ustawy z dnia 15 września 2000 r. - Kodeks spółek handlowych (Dz.</w:t>
            </w:r>
            <w:r w:rsidR="00BE7AD9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>U. z 2020 r. poz. 1526, z późn. zm.), który wejdzie w życie z dniem 1 lipca</w:t>
            </w:r>
            <w:r w:rsidR="00BE7AD9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>2021 r., czas trwania prostej spółki akcyjnej jest elementem obligatoryjnym umowy tej spółki,</w:t>
            </w:r>
            <w:r w:rsidR="00BE7AD9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>jeżeli jest oznaczony. Wobec</w:t>
            </w:r>
            <w:r w:rsidR="00BE7AD9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>powyższego konieczne jest uzupełnienie wzorca umowy prostej</w:t>
            </w:r>
            <w:r w:rsidR="00BE7AD9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>spółki akcyjnej w sposób uwzgledniający ww. wymóg ustawy</w:t>
            </w:r>
            <w:r w:rsidR="00BE7AD9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>upoważniającej do wydania</w:t>
            </w:r>
            <w:r w:rsidR="0063616C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5B5682">
              <w:rPr>
                <w:rFonts w:asciiTheme="majorHAnsi" w:hAnsiTheme="majorHAnsi" w:cstheme="majorHAnsi"/>
                <w:bCs/>
                <w:sz w:val="20"/>
                <w:szCs w:val="20"/>
              </w:rPr>
              <w:t>projektowanego aktu wykonawczego.</w:t>
            </w:r>
          </w:p>
        </w:tc>
        <w:tc>
          <w:tcPr>
            <w:tcW w:w="4252" w:type="dxa"/>
          </w:tcPr>
          <w:p w14:paraId="09EE2699" w14:textId="581FFE2E" w:rsidR="005B5682" w:rsidRDefault="005B5682" w:rsidP="007935A4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Uwaga nie </w:t>
            </w:r>
            <w:r w:rsidR="007935A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została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uwzględniona</w:t>
            </w:r>
          </w:p>
          <w:p w14:paraId="13DDAA57" w14:textId="4C9425E5" w:rsidR="007935A4" w:rsidRDefault="00A737CA" w:rsidP="007935A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Zgodnie z art. 300</w:t>
            </w:r>
            <w:r w:rsidRPr="00C123DD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5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 xml:space="preserve"> § 1 pkt 8 ustawy z dnia 15 września 2000 r. - Kodeks spółek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handlowych (Dz. U. z 2020 r. poz. 1526, z późn. zm.), który wejdzie w życie z dniem 1 lipca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 xml:space="preserve">2021 r., </w:t>
            </w:r>
            <w:r w:rsidR="00C123DD"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mowa prostej spółki akcyjnej powinna określać: (…) 8) czas trwania spółki, jeżeli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jest oznaczony. Zacytowany przepis wymaga, aby umowa prostej spółki akcyjnej określała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czas trwania spółki tylko w sytuacji jeżeli został wyraźnie określony czy wskazany przez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 xml:space="preserve">akcjonariuszy – założycieli. </w:t>
            </w:r>
          </w:p>
          <w:p w14:paraId="4456DF30" w14:textId="15523E02" w:rsidR="007935A4" w:rsidRPr="007935A4" w:rsidRDefault="00A737CA" w:rsidP="007935A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W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przypadku braku w umowie zapisu o czasie trwania prostej</w:t>
            </w:r>
            <w:r w:rsidR="00C123D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spółki akcyjnej, przyjmuje się że zostaje ona zawarta na czas nieoznaczony. Tym samym nie</w:t>
            </w:r>
            <w:r w:rsidR="00C123D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jest konieczne umieszczenie we wzorcu umowy prostej spółki akcyjnej postanowienia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 xml:space="preserve">określającego, że prosta spółka akcyjna została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zawarta na czas nieoznaczony bądź, że czas</w:t>
            </w:r>
            <w:r w:rsidR="00C123D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trwania prostej spółki akcyjnej jest nieograniczony. Należy mieć także na uwadze,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że zdecydowana większość dotychczas zakładanych nowych spółek, w tym także zakładanych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737CA">
              <w:rPr>
                <w:rFonts w:asciiTheme="majorHAnsi" w:hAnsiTheme="majorHAnsi" w:cstheme="majorHAnsi"/>
                <w:sz w:val="20"/>
                <w:szCs w:val="20"/>
              </w:rPr>
              <w:t>przy użyciu wzorców udostępnianych przez system teleinformatyczny, była i jest zakładana</w:t>
            </w:r>
            <w:r w:rsidR="007935A4"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na czas nieoznaczony. Należy uznać, że taki sam trend utrzyma się w przypadku prostej</w:t>
            </w:r>
            <w:r w:rsidR="00BE731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spółki akcyjnej.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Jeśli akcjonariusze – założyciele zdecydują się na wybór innego niż „nieoznaczony”</w:t>
            </w:r>
            <w:r w:rsidR="00BE731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czasu trwania prostej spółki akcyjnej, powinni skorzystać z „tradycyjnej” metody zawiązania</w:t>
            </w:r>
            <w:r w:rsidR="00BE731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umowy prostej spółki akcyjnej w formie aktu notarialnego.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W publikacji „Kodeks spółek handlowych. Komentarz”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autorstwa M. Dumkiwiecz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(Wyd. WKP 2020), w komentarzu do art. 3005 Ksh wskazano, że: Określenie w umowie czasu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trwania spółki jest konieczne jedynie wówczas, gdy jest on oznaczony. W przypadku natomiast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zawarcia umowy spółki na czas nieoznaczony, umowa nie musi zawierać żadnego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postanowienia w tym zakresie.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Podobny pogląd, w stosunku do innej spółki kapitałowej tj. spółki z ograniczoną</w:t>
            </w:r>
            <w:r w:rsidR="00BE731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odpowiedzialnością, reprezentuje prof. A. Kidyba w swoim „Komentarzu aktualizowanym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do art. 1-300 ustawy z dnia 15 września 2000 r. Kodeks spółek handlowych”</w:t>
            </w:r>
            <w:r w:rsidR="007935A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935A4" w:rsidRPr="007935A4">
              <w:rPr>
                <w:rFonts w:asciiTheme="majorHAnsi" w:hAnsiTheme="majorHAnsi" w:cstheme="majorHAnsi"/>
                <w:sz w:val="20"/>
                <w:szCs w:val="20"/>
              </w:rPr>
              <w:t>(Wyd. LEX/el.2021), gdzie w przypadku komentarza do art. 157 pkt 6 Ksh stwierdza się, że:</w:t>
            </w:r>
          </w:p>
          <w:p w14:paraId="08E3CEBA" w14:textId="224068EF" w:rsidR="007935A4" w:rsidRPr="007935A4" w:rsidRDefault="007935A4" w:rsidP="007935A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Gdyby spółka była utworzona na określony czas (na przykład budowa fabryki, na pięć lat,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do 31 grudnia 2006 r.), należy to zaznaczyć w umowie spółki w celu poinformowania osób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trzecich i przyszłych wspólników o ograniczonych ramach czasowych spółki. W przypadku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gdy umowa spółki milczy na temat okresu trwania spółki, przyjąć należy, że została zawarta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 xml:space="preserve">na czas nieoznaczony, często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jednak mimo możliwości milczenia na ten temat umowy spółki,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w akcie tym wpisuje się informację, że umowa spółki została zawarta na czas nieoznaczony.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Tak samo w tej kwestii wypowiada się dr M. Rodzynkiewicz w swoim „Kodeks spółek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handlowych. Komentarz” (Wyd. WKP 2018), w komentarzu do art. 157 pkt 6 Ksh: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Brak wskazania w umowie spółki czasu, na jaki spółkę zawiązano, oznacza, że umowę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zawarto na czas nieokreślony. Podobny pogląd wyrażony jest także w publikacji:</w:t>
            </w:r>
          </w:p>
          <w:p w14:paraId="19843B8E" w14:textId="56C90B39" w:rsidR="00A737CA" w:rsidRPr="00A737CA" w:rsidRDefault="007935A4" w:rsidP="007935A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„Prawo spółkę kapitałowych System Prawa Prywatnego” pod red. prof. S. Sołtysińskiego,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gdzie wskazano, że: Postanowienie w kwestii czasu trwania spółki jest konieczne tylko w razie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zamiaru zawarcia umowy na czas oznaczony, a jego brak oznaczał będzie, że czas trwania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spółki jest nieoznaczony.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W chwili obecnej wprowadzenie do omawianego wzorca możliwości zawarcia prostej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spółki akcyjnej na czas oznaczony wiązałoby się z poważną ingerencją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we wdrażany system teleinformatyczny, który od 1 lipca 2021 r. będzie obsługiwał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elektroniczny Krajowy Rejestr Sądowy. Nie wyklucza to jednak wprowadzenia takiej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935A4">
              <w:rPr>
                <w:rFonts w:asciiTheme="majorHAnsi" w:hAnsiTheme="majorHAnsi" w:cstheme="majorHAnsi"/>
                <w:sz w:val="20"/>
                <w:szCs w:val="20"/>
              </w:rPr>
              <w:t>możliwości w niedalekiej przyszłości.</w:t>
            </w:r>
          </w:p>
        </w:tc>
      </w:tr>
      <w:tr w:rsidR="007935A4" w:rsidRPr="000F6BF5" w14:paraId="43CCFFBA" w14:textId="77777777" w:rsidTr="0063616C">
        <w:tc>
          <w:tcPr>
            <w:tcW w:w="425" w:type="dxa"/>
          </w:tcPr>
          <w:p w14:paraId="6F8556B8" w14:textId="2A7B67CD" w:rsidR="00BE7AD9" w:rsidRDefault="00BE7AD9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277" w:type="dxa"/>
          </w:tcPr>
          <w:p w14:paraId="695CC847" w14:textId="2E561617" w:rsidR="00BE7AD9" w:rsidRDefault="00BE7AD9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</w:t>
            </w:r>
            <w:r w:rsidR="00CD2495">
              <w:rPr>
                <w:rFonts w:asciiTheme="majorHAnsi" w:hAnsiTheme="majorHAnsi" w:cstheme="majorHAnsi"/>
                <w:b/>
                <w:sz w:val="20"/>
                <w:szCs w:val="20"/>
              </w:rPr>
              <w:t>RPiT</w:t>
            </w:r>
          </w:p>
        </w:tc>
        <w:tc>
          <w:tcPr>
            <w:tcW w:w="2977" w:type="dxa"/>
          </w:tcPr>
          <w:p w14:paraId="277C3A50" w14:textId="6393512D" w:rsidR="00BE7AD9" w:rsidRDefault="00CD2495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Brak „dodatkowego” załącznika do rozporządzenia </w:t>
            </w:r>
          </w:p>
        </w:tc>
        <w:tc>
          <w:tcPr>
            <w:tcW w:w="6662" w:type="dxa"/>
          </w:tcPr>
          <w:p w14:paraId="63D5E5D4" w14:textId="37A21EC8" w:rsidR="00BE7AD9" w:rsidRPr="005B5682" w:rsidRDefault="00CD2495" w:rsidP="0063616C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Projekt rozporządzenia nie obejmuje swoim zakresem wzorca uchwały, o którym</w:t>
            </w:r>
            <w:r w:rsidR="0063616C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mowa w art. 300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58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§ 6 KSH. Zgodnie z art. 300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(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58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)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§ 6 KSH, uchwała akcjonariuszy</w:t>
            </w:r>
            <w:r w:rsidR="0063616C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o powołaniu pełnomocnika w celu zawarcia z członkiem zarządu albo dyrektorem</w:t>
            </w:r>
            <w:r w:rsidR="0063616C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umowy spółki, która ma zostać zawarta przy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wykorzystaniu wzorca umowy może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zostać podjęta przy wykorzystaniu wzorca</w:t>
            </w:r>
            <w:r w:rsidR="0063616C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udostępnionego w systemie</w:t>
            </w:r>
            <w:r w:rsidR="0063616C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teleinformatycznym.</w:t>
            </w:r>
          </w:p>
        </w:tc>
        <w:tc>
          <w:tcPr>
            <w:tcW w:w="4252" w:type="dxa"/>
          </w:tcPr>
          <w:p w14:paraId="12872036" w14:textId="4150D8AC" w:rsidR="00BE7AD9" w:rsidRDefault="00CD2495" w:rsidP="0065149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Uwaga nie </w:t>
            </w:r>
            <w:r w:rsidR="007935A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została </w:t>
            </w:r>
            <w:r w:rsidR="005C107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uwzględniona.</w:t>
            </w:r>
          </w:p>
          <w:p w14:paraId="699EAABE" w14:textId="17622552" w:rsidR="005C1075" w:rsidRPr="005C1075" w:rsidRDefault="005C1075" w:rsidP="005C107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W przypadku zgłoszonego w pkt. 1 w/w pisma - braku wzorca uchwały, o którym mowa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w art. 300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58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 xml:space="preserve"> § 6 KSH – pragnę wyjaśnić, że mamy świadomość, że przedłożony do oceny w/w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projekt rozporządzenia nie zawiera obecnie pośród przygotowanych wzorców: uchwały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akcjonariuszy o powołaniu pełnomocnika w celu zawarcia z członkiem zarządu albo</w:t>
            </w:r>
            <w:r w:rsidR="00BE731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dyrektorem umowy spółki. Nie mniej jednak w chwili obecnej wydaje się mało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prawdopodobne, aby na tym etapie zaawansowania prac projektowo - wdrożeniowych</w:t>
            </w:r>
          </w:p>
          <w:p w14:paraId="1FDEDCE5" w14:textId="7DDA2213" w:rsidR="005C1075" w:rsidRPr="005C1075" w:rsidRDefault="005C1075" w:rsidP="005C107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C1075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elektronicznego Krajowego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Rejestru Sądowego (eKRS) było możliwe wprowadzenie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dodatkowego wzorca przed 1 lipca 2021 r., także z powodu napiętego harmonogramu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realizacji eKRS-u. Ze swojej strony deklaruję, że w drugiej połowie 2021, po udanym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uruchomieniu eKRS-u, rozpoczęte zostaną prace legislacyjne nad zmianą w/w rozporządzenia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aby przy najbliżej możliwej modyfikacji eKRS-u, tak aby możliwe było wdrożenie regulacji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art. 300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58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 xml:space="preserve"> § 6 Ksh.</w:t>
            </w:r>
          </w:p>
        </w:tc>
      </w:tr>
      <w:tr w:rsidR="007935A4" w:rsidRPr="000F6BF5" w14:paraId="4704D9A0" w14:textId="77777777" w:rsidTr="0063616C">
        <w:tc>
          <w:tcPr>
            <w:tcW w:w="425" w:type="dxa"/>
          </w:tcPr>
          <w:p w14:paraId="29F73C81" w14:textId="2E3B0E25" w:rsidR="00CD2495" w:rsidRDefault="00CD2495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277" w:type="dxa"/>
          </w:tcPr>
          <w:p w14:paraId="0CD8EFFE" w14:textId="3FE7AA77" w:rsidR="00CD2495" w:rsidRDefault="00CD2495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MRPiT</w:t>
            </w:r>
          </w:p>
        </w:tc>
        <w:tc>
          <w:tcPr>
            <w:tcW w:w="2977" w:type="dxa"/>
          </w:tcPr>
          <w:p w14:paraId="797B8F8E" w14:textId="758EAEFA" w:rsidR="00CD2495" w:rsidRDefault="00CD2495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§ 8</w:t>
            </w:r>
          </w:p>
        </w:tc>
        <w:tc>
          <w:tcPr>
            <w:tcW w:w="6662" w:type="dxa"/>
          </w:tcPr>
          <w:p w14:paraId="3E1BABBF" w14:textId="77777777" w:rsidR="00CD2495" w:rsidRPr="00CD2495" w:rsidRDefault="00CD2495" w:rsidP="0063616C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W § 8 projektu rozporządzenia proponuję po słowach Polskiej Klasyfikacji</w:t>
            </w:r>
          </w:p>
          <w:p w14:paraId="469895FA" w14:textId="77777777" w:rsidR="00CD2495" w:rsidRPr="00CD2495" w:rsidRDefault="00CD2495" w:rsidP="0063616C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Działalności dodanie skrótu „(PKD)”. Ponadto proponuję zmianę określenia</w:t>
            </w:r>
          </w:p>
          <w:p w14:paraId="143F21D7" w14:textId="66BE7E9F" w:rsidR="00CD2495" w:rsidRPr="00CD2495" w:rsidRDefault="00CD2495" w:rsidP="0063616C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D2495">
              <w:rPr>
                <w:rFonts w:asciiTheme="majorHAnsi" w:hAnsiTheme="majorHAnsi" w:cstheme="majorHAnsi"/>
                <w:bCs/>
                <w:sz w:val="20"/>
                <w:szCs w:val="20"/>
              </w:rPr>
              <w:t>„słownik” na „schemat”.</w:t>
            </w:r>
          </w:p>
        </w:tc>
        <w:tc>
          <w:tcPr>
            <w:tcW w:w="4252" w:type="dxa"/>
          </w:tcPr>
          <w:p w14:paraId="5501F445" w14:textId="1ADEEAFC" w:rsidR="00CD2495" w:rsidRDefault="005C1075" w:rsidP="0065149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Uwaga uwzględniona </w:t>
            </w:r>
          </w:p>
        </w:tc>
      </w:tr>
      <w:tr w:rsidR="007935A4" w:rsidRPr="000F6BF5" w14:paraId="153BF663" w14:textId="77777777" w:rsidTr="0063616C">
        <w:tc>
          <w:tcPr>
            <w:tcW w:w="425" w:type="dxa"/>
          </w:tcPr>
          <w:p w14:paraId="4D00F887" w14:textId="201DB1CF" w:rsidR="00BE7AD9" w:rsidRDefault="00BE7AD9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77" w:type="dxa"/>
          </w:tcPr>
          <w:p w14:paraId="394B3D5E" w14:textId="771889C7" w:rsidR="00BE7AD9" w:rsidRDefault="00BE7AD9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Prezes UODO</w:t>
            </w:r>
          </w:p>
        </w:tc>
        <w:tc>
          <w:tcPr>
            <w:tcW w:w="2977" w:type="dxa"/>
          </w:tcPr>
          <w:p w14:paraId="167E0F53" w14:textId="3D4EA1C4" w:rsidR="00BE7AD9" w:rsidRDefault="00CD2495" w:rsidP="0065149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Tekst rozporządzenia</w:t>
            </w:r>
          </w:p>
        </w:tc>
        <w:tc>
          <w:tcPr>
            <w:tcW w:w="6662" w:type="dxa"/>
          </w:tcPr>
          <w:p w14:paraId="77BE7968" w14:textId="4E89FE7E" w:rsidR="00BE7AD9" w:rsidRDefault="00BE7AD9" w:rsidP="0063616C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Projektowane rozporządzenie stanowi wykonanie delegacji ustawowej zawartej w art. 300</w:t>
            </w:r>
            <w:r w:rsidRPr="00BE731F">
              <w:rPr>
                <w:rFonts w:asciiTheme="majorHAnsi" w:hAnsiTheme="majorHAnsi" w:cstheme="majorHAnsi"/>
                <w:bCs/>
                <w:sz w:val="20"/>
                <w:szCs w:val="20"/>
                <w:vertAlign w:val="superscript"/>
              </w:rPr>
              <w:t>7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§ 5 ustawy z dnia 15 września 2000 r. – Kodeks spółek handlowych (Dz. U. z 2020 r. poz. 1526 i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2320), i przewiduje - zgodnie z § 16 projektu – że po podpisaniu dokumentu sporządzonego przy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wykorzystaniu wzorca, w</w:t>
            </w:r>
            <w:r w:rsidR="0063616C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dokumencie pochodzącym z systemu teleinformatycznego umieszczana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jest informacja o osobie podpisującej wraz z oznaczeniem rodzaju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podpisu.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Ze wskazanego przepisu nie wynika jednak jakie informacje o osobie podpisującej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umieszcza się w dokumencie a co za tym idzie jego konstrukcja nie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odpowiada zasadzie</w:t>
            </w:r>
            <w:r w:rsidR="0063616C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BE7AD9">
              <w:rPr>
                <w:rFonts w:asciiTheme="majorHAnsi" w:hAnsiTheme="majorHAnsi" w:cstheme="majorHAnsi"/>
                <w:bCs/>
                <w:sz w:val="20"/>
                <w:szCs w:val="20"/>
              </w:rPr>
              <w:t>przejrzystości wynikającej z art. 5 ust. 1 lit. a rozporządzenia 2016/6792.</w:t>
            </w:r>
          </w:p>
          <w:p w14:paraId="7D1EA443" w14:textId="479F4B94" w:rsidR="00BE7AD9" w:rsidRPr="00BE7AD9" w:rsidRDefault="00BE7AD9" w:rsidP="0063616C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  <w:u w:val="single"/>
              </w:rPr>
            </w:pPr>
            <w:r w:rsidRPr="0063616C">
              <w:rPr>
                <w:rFonts w:asciiTheme="majorHAnsi" w:hAnsiTheme="majorHAnsi" w:cstheme="majorHAnsi"/>
                <w:bCs/>
                <w:sz w:val="20"/>
                <w:szCs w:val="20"/>
              </w:rPr>
              <w:t>Prezes Urzędu Ochrony Danych Osobowych wnosi o zmianę § 16 projektu poprzez</w:t>
            </w:r>
            <w:r w:rsidR="0063616C" w:rsidRPr="0063616C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63616C">
              <w:rPr>
                <w:rFonts w:asciiTheme="majorHAnsi" w:hAnsiTheme="majorHAnsi" w:cstheme="majorHAnsi"/>
                <w:bCs/>
                <w:sz w:val="20"/>
                <w:szCs w:val="20"/>
              </w:rPr>
              <w:t>określenie jakie konkretnie dane osobowe osoby podpisującej umieszcza się w dokumencie tak by dane te były adekwatne, stosowne oraz ograniczone do tego, co niezbędne do celu, w którym są przetwarzane, a także nie naruszały zasady ograniczenia celu wskazanej w art. 5 ust. 1 lit. b rozporządzenia 2016/679.</w:t>
            </w:r>
          </w:p>
        </w:tc>
        <w:tc>
          <w:tcPr>
            <w:tcW w:w="4252" w:type="dxa"/>
          </w:tcPr>
          <w:p w14:paraId="3F0AC7DD" w14:textId="1A412936" w:rsidR="00BE7AD9" w:rsidRDefault="00BE7AD9" w:rsidP="005C1075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Uwaga nie </w:t>
            </w:r>
            <w:r w:rsidR="007935A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została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uwzględniona</w:t>
            </w:r>
          </w:p>
          <w:p w14:paraId="2368F6AE" w14:textId="77777777" w:rsidR="005C1075" w:rsidRPr="005C1075" w:rsidRDefault="005C1075" w:rsidP="005C107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Z informacji uzyskanych od jednostki organizacyjnej Ministerstwa Sprawiedliwości</w:t>
            </w:r>
          </w:p>
          <w:p w14:paraId="0CCC2FEE" w14:textId="77777777" w:rsidR="005C1075" w:rsidRPr="005C1075" w:rsidRDefault="005C1075" w:rsidP="005C107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odpowiedzialnej za wdrożenie systemu teleinformatycznego obsługującego procedurę</w:t>
            </w:r>
          </w:p>
          <w:p w14:paraId="10577237" w14:textId="77777777" w:rsidR="005C1075" w:rsidRPr="005C1075" w:rsidRDefault="005C1075" w:rsidP="005C107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zawarcie umowy prostej spółki akcyjnej przy wykorzystaniu wzorca umowy udostępnianego</w:t>
            </w:r>
          </w:p>
          <w:p w14:paraId="1B9098A0" w14:textId="3BE92438" w:rsidR="005C1075" w:rsidRPr="005C1075" w:rsidRDefault="005C1075" w:rsidP="007F2C9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w systemie teleinformatycznym wynika, że jedyne informacje o osobie podpisującej jakie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będą umieszczone w dokumencie to: imię i nazwisko, jej numer PESEL (jeżeli go posiada)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oraz adres. W przypadku imienia i nazwiska oraz adresu, jak i numeru PESEL - takie dane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stanowią podstawowe cechy indywidualizujące osoby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zawierające umowę prostej spółki</w:t>
            </w:r>
            <w:r w:rsidR="00BE731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akcyjnej czyli akcjonariuszy i nie powinno się ich kwalifikować jako dane nadmiarowe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czy zbędne, gdyż ich podanie jest w pełni adekwatne i celowe, a wręcz niezbędne. Zgodnie z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art. 300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 xml:space="preserve"> § 1 pkt 3 ustawy z dnia 15 września 2000 r. - Kodeks spółek handlowych (Dz. U. z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2020 r. poz. 1526, z późn. zm.), który wejdzie w życie z dniem 1 lipca 2021 r.: Umowa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 xml:space="preserve">prostej spółki akcyjnej powinna określać: 3) (…)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akcjonariuszy obejmujących poszczególne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akcje (…). Wskazana regulacja kodeksowa wymaga więc, co najmniej poprawnej</w:t>
            </w:r>
            <w:r w:rsidR="00BE731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identyfikacji osoby fizycznej w oparciu o indywidualne i podstawowe cechy: imienia i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nazwiska, numeru PESEL czy dodatkowo adresu. Z kolei art. 35 pkt 1 ustawy z dnia 20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sierpnia 1997 roku o Krajowym Rejestrze Sądowym (Dz. U. z 2018 r.,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poz. 986.) określa obowiązek ujawniania w Krajowym Rejestrze Sądowym numeru PESEL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wpisywanych do tego rejestru osób fizycznych, pełniących określoną funkcję czy role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w podmiocie wpisanym do Krajowego Rejestru Sądowego. Wskazane przepisy nie naruszają</w:t>
            </w:r>
            <w:r w:rsidR="00BE731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prawa osoby fizycznej wpisywanej do Rejestru do ochrony jej danych osobowych.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Numer PESEL jest unikalnym numerem nadawanym z urzędu lub na wniosek na zasadach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określonych w ustawie z dnia 24 września 2010 r. o ewidencji ludności (Dz. U. z 2016 r.,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poz. 722). Unikalność tego numeru jest czynnikiem umożliwiającym identyfikację osoby na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etapie wpisu do Rejestru. Zgodnie z art. 23 ust. 1 ustawy o Krajowym Rejestrze Sądowym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sąd rejestrowy bada, czy dane wskazane we wniosku o wpis do Rejestru w zakresie m. in.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numeru PESEL osoby fizycznej są prawdziwe. Oznacza to automatyczną weryfikację danych</w:t>
            </w:r>
            <w:r w:rsidR="007F2C9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zgłoszonych przez wnioskodawcę z danymi w bazie PESEL. Numer PESEL umożliwia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dokładną identyfikację osoby i jej odróżnienie od innych osób noszących to samo imię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i nazwisko. Identyfikacja ta służy bezpieczeństwu obrotu oraz jest istotna z punktu widzenia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okoliczności otrzymywania przez dokonujący wpisu sąd rejestrowy z Biura Informacyjnego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Krajowego Rejestru Karnego informacji o skazaniach za określone przestępstwa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 xml:space="preserve">oraz o orzeczonych środkach karnych, które to okoliczności w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niektórych wypadkach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wyłączają możliwość piastowania przez określoną osobę funkcji w organach podmiotu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wpisywanego do Rejestru. Wyszukiwanie tych informacji opiera się głównie na numerze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PESEL. Dzięki otrzymanym tą metodą informacjom sąd rejestrowy może podjąć stosowne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działanie przeciwdziałające dopuszczeniu do ujawniania w Rejestrze osób, które nie mogą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pełnić funkcji w organach podmiotów wpisanych do Rejestru z uwagi na fakt ich skazania bez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zagrożenia, że działania te podjęte zostaną w stosunku do niewłaściwej osoby (z uwagi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na błąd co jej tożsamości).</w:t>
            </w:r>
            <w: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Dodatkowo pragnę wskazać, że osoba fizyczna decydująca się na uczestnictwo w osobie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prawnej czy członkostwo w organie takiej osoby prawnej - wpisanej do Krajowego Rejestru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Sądowego winna zaakceptować fakt ujawnienia w ogólnodostępnym rejestrze jej danych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osobowych w zakresie imienia, nazwiska i numeru PESEL, a także indywidualizującego ją</w:t>
            </w:r>
            <w:r w:rsidR="00A737CA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5C1075">
              <w:rPr>
                <w:rFonts w:asciiTheme="majorHAnsi" w:hAnsiTheme="majorHAnsi" w:cstheme="majorHAnsi"/>
                <w:sz w:val="20"/>
                <w:szCs w:val="20"/>
              </w:rPr>
              <w:t>adresu.</w:t>
            </w:r>
          </w:p>
        </w:tc>
      </w:tr>
    </w:tbl>
    <w:p w14:paraId="63B6A6EB" w14:textId="77777777" w:rsidR="003F1AFF" w:rsidRDefault="003F1AFF"/>
    <w:sectPr w:rsidR="003F1AFF" w:rsidSect="006361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02"/>
    <w:rsid w:val="000015DE"/>
    <w:rsid w:val="00034686"/>
    <w:rsid w:val="000A3D8A"/>
    <w:rsid w:val="000C0800"/>
    <w:rsid w:val="000C17C4"/>
    <w:rsid w:val="000D7AB8"/>
    <w:rsid w:val="00103113"/>
    <w:rsid w:val="001054D7"/>
    <w:rsid w:val="001078D7"/>
    <w:rsid w:val="00127ACC"/>
    <w:rsid w:val="00180706"/>
    <w:rsid w:val="00196122"/>
    <w:rsid w:val="001C0F3A"/>
    <w:rsid w:val="001D223F"/>
    <w:rsid w:val="00211369"/>
    <w:rsid w:val="00244F99"/>
    <w:rsid w:val="00250E5A"/>
    <w:rsid w:val="00254A81"/>
    <w:rsid w:val="002563EA"/>
    <w:rsid w:val="00285F42"/>
    <w:rsid w:val="0029138E"/>
    <w:rsid w:val="002D5B27"/>
    <w:rsid w:val="00316F03"/>
    <w:rsid w:val="003D0CA4"/>
    <w:rsid w:val="003F1AFF"/>
    <w:rsid w:val="00484D5B"/>
    <w:rsid w:val="004B2531"/>
    <w:rsid w:val="004F78A2"/>
    <w:rsid w:val="00502214"/>
    <w:rsid w:val="0057011B"/>
    <w:rsid w:val="005B01C7"/>
    <w:rsid w:val="005B5682"/>
    <w:rsid w:val="005C1075"/>
    <w:rsid w:val="0063616C"/>
    <w:rsid w:val="0063675A"/>
    <w:rsid w:val="006440F3"/>
    <w:rsid w:val="0067080F"/>
    <w:rsid w:val="00687FE1"/>
    <w:rsid w:val="00692A89"/>
    <w:rsid w:val="006B1942"/>
    <w:rsid w:val="00703C14"/>
    <w:rsid w:val="007935A4"/>
    <w:rsid w:val="007C23D8"/>
    <w:rsid w:val="007D15E7"/>
    <w:rsid w:val="007F2C93"/>
    <w:rsid w:val="00803544"/>
    <w:rsid w:val="00851202"/>
    <w:rsid w:val="0087070F"/>
    <w:rsid w:val="008D1F2B"/>
    <w:rsid w:val="008D2945"/>
    <w:rsid w:val="008D7B81"/>
    <w:rsid w:val="009806CE"/>
    <w:rsid w:val="00985DBA"/>
    <w:rsid w:val="0099643B"/>
    <w:rsid w:val="009A25D2"/>
    <w:rsid w:val="009D402F"/>
    <w:rsid w:val="00A04402"/>
    <w:rsid w:val="00A12CAC"/>
    <w:rsid w:val="00A45A76"/>
    <w:rsid w:val="00A66428"/>
    <w:rsid w:val="00A737CA"/>
    <w:rsid w:val="00AE5BFD"/>
    <w:rsid w:val="00B338B7"/>
    <w:rsid w:val="00B543E8"/>
    <w:rsid w:val="00BA4B9B"/>
    <w:rsid w:val="00BD4316"/>
    <w:rsid w:val="00BD5423"/>
    <w:rsid w:val="00BE731F"/>
    <w:rsid w:val="00BE7AD9"/>
    <w:rsid w:val="00C123DD"/>
    <w:rsid w:val="00C409C9"/>
    <w:rsid w:val="00C54151"/>
    <w:rsid w:val="00CB5BE8"/>
    <w:rsid w:val="00CC7BD4"/>
    <w:rsid w:val="00CD2495"/>
    <w:rsid w:val="00CF4DB9"/>
    <w:rsid w:val="00D011F1"/>
    <w:rsid w:val="00D77FBD"/>
    <w:rsid w:val="00D908CC"/>
    <w:rsid w:val="00E27F7E"/>
    <w:rsid w:val="00E45F41"/>
    <w:rsid w:val="00E95249"/>
    <w:rsid w:val="00EA7A79"/>
    <w:rsid w:val="00EB4C3E"/>
    <w:rsid w:val="00EE45E9"/>
    <w:rsid w:val="00F0248B"/>
    <w:rsid w:val="00F52E8D"/>
    <w:rsid w:val="00FB24C9"/>
    <w:rsid w:val="00FB557D"/>
    <w:rsid w:val="00FC4E73"/>
    <w:rsid w:val="00FD7A4A"/>
    <w:rsid w:val="00FE5207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62FB"/>
  <w15:chartTrackingRefBased/>
  <w15:docId w15:val="{0F3DCED9-2845-44E6-B73F-726B99F4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402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40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6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1645</Words>
  <Characters>9874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Orliński Adrian  (DLPC)</dc:creator>
  <cp:keywords/>
  <dc:description/>
  <cp:lastModifiedBy>Piskorska-Wąsala Agnieszka  (DLPC)</cp:lastModifiedBy>
  <cp:revision>4</cp:revision>
  <dcterms:created xsi:type="dcterms:W3CDTF">2021-05-13T12:52:00Z</dcterms:created>
  <dcterms:modified xsi:type="dcterms:W3CDTF">2021-05-13T15:26:00Z</dcterms:modified>
</cp:coreProperties>
</file>